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Порядка </w:t>
      </w:r>
      <w:bookmarkStart w:id="1" w:name="_Hlk74735197"/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направления граждан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прохожде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ние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углубленной диспансеризации, включая категории граждан,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проходящих углубленную диспансеризацию в первоочередном порядке </w:t>
      </w:r>
      <w:bookmarkEnd w:id="1"/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абзацем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двадцать третьим раздела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" w:name="_Hlk7473597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государственных гарантий бесплатного оказания гражданам медицинской помощи на 2021 год и на плановый период 2022 и 2023 годов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утвержденной постановлением Правительства Российской Федерации от 28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декабря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2299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3" w:name="_Hlk74744397"/>
      <w:bookmarkEnd w:id="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2021, №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 (часть I)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ст.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384; 2021, №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12, ст.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2000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bookmarkEnd w:id="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Calibri" w:hAnsi="Times New Roman"/>
          <w:spacing w:val="70"/>
          <w:sz w:val="28"/>
        </w:rPr>
        <w:t>приказыва</w:t>
      </w:r>
      <w:r>
        <w:rPr>
          <w:rFonts w:ascii="Times New Roman" w:cs="Times New Roman" w:eastAsia="Calibri" w:hAnsi="Times New Roman"/>
          <w:sz w:val="28"/>
        </w:rPr>
        <w:t>ю: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1. Утвердить прилагаемый </w:t>
      </w:r>
      <w:bookmarkStart w:id="4" w:name="_Hlk7473544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  <w:bookmarkEnd w:id="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4098"/>
        <w:shd w:val="clear" w:color="auto" w:fill="auto"/>
        <w:tabs>
          <w:tab w:val="left" w:leader="none" w:pos="851"/>
          <w:tab w:val="left" w:leader="none" w:pos="993"/>
        </w:tabs>
        <w:spacing w:before="0" w:after="0" w:lineRule="auto" w:line="240"/>
        <w:ind w:firstLine="709"/>
        <w:jc w:val="both"/>
        <w:outlineLvl w:val="9"/>
        <w:contextualSpacing/>
        <w:rPr>
          <w:b w:val="false"/>
        </w:rPr>
      </w:pPr>
      <w:r>
        <w:rPr>
          <w:b w:val="false"/>
        </w:rPr>
        <w:t>2. </w:t>
      </w:r>
      <w:r>
        <w:rPr>
          <w:b w:val="false"/>
        </w:rPr>
        <w:t xml:space="preserve">Настоящий приказ вступает в силу с 1 </w:t>
      </w:r>
      <w:r>
        <w:rPr>
          <w:b w:val="false"/>
        </w:rPr>
        <w:t xml:space="preserve">июля </w:t>
      </w:r>
      <w:r>
        <w:rPr>
          <w:b w:val="false"/>
        </w:rPr>
        <w:t>202</w:t>
      </w:r>
      <w:r>
        <w:rPr>
          <w:b w:val="false"/>
        </w:rPr>
        <w:t>1</w:t>
      </w:r>
      <w:r>
        <w:rPr>
          <w:b w:val="false"/>
        </w:rPr>
        <w:t xml:space="preserve"> года и действует </w:t>
      </w:r>
      <w:r>
        <w:rPr>
          <w:b w:val="false"/>
        </w:rPr>
        <w:br/>
      </w:r>
      <w:r>
        <w:rPr>
          <w:b w:val="false"/>
        </w:rPr>
        <w:t xml:space="preserve">до 1 </w:t>
      </w:r>
      <w:r>
        <w:rPr>
          <w:b w:val="false"/>
        </w:rPr>
        <w:t>июля</w:t>
      </w:r>
      <w:r>
        <w:rPr>
          <w:b w:val="false"/>
        </w:rPr>
        <w:t xml:space="preserve"> 202</w:t>
      </w:r>
      <w:r>
        <w:rPr>
          <w:b w:val="false"/>
        </w:rPr>
        <w:t>7</w:t>
      </w:r>
      <w:r>
        <w:rPr>
          <w:b w:val="false"/>
        </w:rPr>
        <w:t xml:space="preserve"> года.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709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709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tabs>
          <w:tab w:val="left" w:leader="none" w:pos="994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Министр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М.А. Мурашко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64"/>
        <w:ind w:firstLine="709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64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64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sectPr>
          <w:headerReference w:type="default" r:id="rId2"/>
          <w:pgSz w:w="11906" w:h="16838" w:orient="portrait"/>
          <w:pgMar w:top="1134" w:right="567" w:bottom="1134" w:left="1134" w:header="709" w:footer="709" w:gutter="0"/>
          <w:cols w:space="708"/>
          <w:titlePg/>
          <w:docGrid w:linePitch="360"/>
        </w:sect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64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73"/>
      </w:tblGrid>
      <w:tr>
        <w:trPr>
          <w:trHeight w:val="1471" w:hRule="atLeast"/>
          <w:jc w:val="right"/>
        </w:trPr>
        <w:tc>
          <w:tcPr>
            <w:tcW w:w="547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здравоохранения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от «___» _____________ 2021 г. № ____</w:t>
            </w:r>
          </w:p>
        </w:tc>
      </w:tr>
    </w:tbl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64"/>
        <w:ind w:firstLine="709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709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709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bookmarkStart w:id="5" w:name="_Hlk74735524"/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направления граждан на прохождение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углубленной диспансеризации, включая категории граждан,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проходящих углубленную диспансеризацию в первоочередном порядке</w:t>
      </w:r>
      <w:bookmarkEnd w:id="5"/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709"/>
        <w:jc w:val="both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 Настоящ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ий Порядок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регулирует вопросы, связанные 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взрослы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(в возрасте 18 лет и старше)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 прохождение углубленной диспансеризации, включая категории граждан,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переболевших новой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(COVID-19)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проходящих углубленную диспансеризацию в первоочередном порядке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соответственно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углубленная диспансеризация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граждане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Углубленную диспансеризацию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вправе пройти граждане, переболевшие </w:t>
      </w:r>
      <w:bookmarkStart w:id="6" w:name="_Hlk7475369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новой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</w:t>
      </w:r>
      <w:bookmarkStart w:id="7" w:name="_Hlk74745923"/>
      <w:bookmarkEnd w:id="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bookmarkEnd w:id="7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(COVID-19)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Категории граждан, проходящих углубленную диспансеризацию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первоочередном порядке,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определены в приложении к настоящему Порядку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(далее – уровень приоритета гражданина)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4101"/>
        <w:ind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3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Необходимым предварительным условием проведения </w:t>
      </w:r>
      <w:r>
        <w:rPr>
          <w:rFonts w:ascii="Times New Roman" w:cs="Times New Roman" w:hAnsi="Times New Roman"/>
          <w:color w:val="000000"/>
          <w:sz w:val="28"/>
          <w:szCs w:val="28"/>
        </w:rPr>
        <w:t>углубленной диспансеризации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является дача информированного добровольного согласия гражданина (его законного представителя) на медицинское вмешательство 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cs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 вправе отказаться от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целом либо от отдельных видов медицинских вмешательств, входящих в объем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 Углубленная диспансеризация включает исследования и иные медицинские вмешательства по перечню, приведенному в приложении № 4 к Программе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государственных гарантий бесплатного оказания гражданам медицинской помощи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2021 год и на плановый период 2022 и 2023 годов, утвержденной постановлением Правительства Российской Федерации от 28 декабря 2020 г. № 2299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2021, №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 (часть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I), ст.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384; 2021, №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12, ст.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2000)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(далее – Перечень исследований).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 Углубленная диспансеризация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тся медицинскими организациями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объеме, предусмотренном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Перечнем исследований.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организуется проведение профилактического медицинского осмотра или диспансеризации в соответствии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 порядком проведения профилактического медицинского осмотра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диспансеризации определенных групп взрослого населения, утвержденного Министерством здравоохранения Российской Федерации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профилактический осмотр, диспансеризация)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Углубленная 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испансеризация провод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тся медицинскими организациями независимо от их организационно-правовой формы, оказывающими первичную медико-санитарную помощь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гражданам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имеющими лицензию на осуществление медицинской деятельности, предусматривающую выполнение работ (оказание услуг) по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медицинским осмотрам профилактическим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«терапия»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общей врачебной практике (семейной медицине)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у медицинской организации, имеющей лицензию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 осуществление медицинской деятельности, предусматривающую выполнение работ (оказание услуг) по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«терапия»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общей врачебной практике (семейной медицине)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отсутствует лицензия на медицинскую деятельность в части выполнения иных работ (услуг), перечисленных 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Перечне исследований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указанная медицинская организация заключает договор для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 иными медицинскими организациями, имеющими лицензию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осуществление медицинской деятельности в части выполнения требуемых работ (услуг).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целях организации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врачами-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терапевтами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врачами-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терапевтами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участковыми, врачами общей практики (семейными врачами)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врач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-терапевт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цехового врачебного участка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врач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 медицинской профилактике отделени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(кабинет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) медицинской профилактики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или центр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здоровья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врач, ответственный за проведение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) медицинской организации, в которой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гражданин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получает первичную медико-санитарную помощь, составляются поименные списки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которых указываются следующие сведения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перечень граждан)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(при наличии), возраст (дата, месяц, год рождения);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уровень приоритета гражданина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планируемые дата и место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также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осмотра или диспансеризации в случа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отсутстви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данных об их прохождении в текущем году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этом в отношении граждан,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переболевши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новой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(COVID-19)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планируемая дата проведения углубленной диспансеризации должна составлять не менее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60 календарных дней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после выздоровления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при оказании медицинской помощи в амбулаторных условиях или после получения выписного эпикриза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перенесшего новую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коронавирусную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COVID-19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из медицинской карты стационарного больного по результатам оказания медицинской помощи в стационарных условиях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с учетом рекомендаций врача-специалиста о необходимости углубленной диспансеризации.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5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Фельдшер фельдшерского здравпункта или фельдшерско-акушерского пункта является ответственным за проведение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углубленной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углубленной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диспансеризации, в </w:t>
      </w:r>
      <w:r>
        <w:rPr/>
        <w:fldChar w:fldCharType="begin"/>
      </w:r>
      <w:r>
        <w:instrText xml:space="preserve"> HYPERLINK "consultantplus://offline/ref=9FD2B8E2E9C211628D26D22B4F0A5FE31FEF6EDC265ED87E457278FEE37713D9BAAC322D1AC36383BDC40A284C3D18EDCDF4790A4A437A29377CO"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порядке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установленном приказом Министерства здравоохранения и социального развития Российской Федерации от 23 марта 2012 г.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период наблюдения за ним и его лечения, в том числе по назначению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применению лекарственных препаратов, включая наркотические лекарственные препараты и психотропные лекарственные препараты»</w:t>
      </w:r>
      <w:r>
        <w:rPr>
          <w:rFonts w:ascii="Times New Roman" w:cs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Уполномоченное должностное лицо медицинской организации на основании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сводный перечень граждан, подлежащих углубленной диспансеризации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календарный план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 указанием дат и мест их проведения, необходимого количества осмотров специалистами (с указанием должности, фамилии и инициалов), лабораторных, инструментальных и иных исследований, числа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календарный план).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 этом календарный план составляется с учетом установленного уровня приоритета гражданина.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Сводный перечень граждан и 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алендарный план утвержда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тся руководителем (уполномоченным должностным лицом) медицинской организации и доводится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до сведения медицинских работников, участвующих в проведении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врачей, ответственных за проведение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случае изменения численности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подлежащих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врач, ответственный за проведение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представляет до 20 числа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тся дополнительный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сводный перечень граждан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календарный план.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Сводный перечень граждан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дополнительный сводный перечень граждан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направля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тся в территориальный фонд обязательного медицинского страхования.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Врач, ответственный за проведение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 позднее чем за 5 рабочих дней до начала 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обязан вручить (направить)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гражданину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(законному представителю) направление 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углубленную диспансеризацию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перечня осмотров и исследований, а также даты, времени и места их проведения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направление)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день прохождения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прибывает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место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представляет направление.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подозрения на наличие 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заболевания (состояния), диагноз которого не может быть установлен при проведении осмотров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 исследований, включенных 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I этап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исследований, врач, ответственный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за проведение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направля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дополнительную консультацию и (или) исследование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Перечня исследований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Углубленная диспансеризация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завершенн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проведения осмотров и выполнения исследований, включенных в Перечень исследований (</w:t>
      </w:r>
      <w:bookmarkStart w:id="8" w:name="_Hlk7474967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I этап</w:t>
      </w:r>
      <w:bookmarkEnd w:id="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подозрения на наличие 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заболевания (состояния), диагноз которого не может быть установлен при проведении осмотров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 исследований, включенных 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I этап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исследований, и (или) необходимости получения информации о состоянии здоровья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из других медицинских организаций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углубленная диспансеризация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завершенн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проведения дополнительных консультаций, исследований, назначенных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 (или) получения информации о состоянии здоровья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из других медицинских организаций (II этап).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отказа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(его законного представителя) от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одного или нескольких медицинских вмешательств, предусмотренных в рамках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I или II этапов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оформленного в соответствии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 статьей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20 Федерального закона,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углубленная диспансеризация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считается завершенн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объеме проведенных осмотров и выполненных исследований.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Общая продолжительность I этапа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должна составлять не более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рабоч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а при назначении дополнительных консультаций, исследований и (или) необходимости получения информации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 состоянии здоровья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из других медицинских организаций общая продолжительность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должна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не превышать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ожидания медицинской помощи, оказываемой в плановой форме, проведения отдельных диагностических обследований и консультаций врачей-специалистов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(I и II этапы).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сведений о прохождении гражданином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диспансеризации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рач, ответственны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за проведение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углубленной диспансеризации,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групп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здоровья 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заполняет карт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учета диспансеризации.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приемов (осмотров, консультаций), исследований и иных медицинских вмешательств, входящих 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Перечень исследований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вносятся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медицинскую карту пациента, получающего медицинскую помощь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амбулаторных условиях, с пометкой 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Углубленная ди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спансеризация».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диспансеризации, информация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результатах приемов (осмотров, консультаций) медицинскими работниками, исследований и иных медицинских вмешательств, входящих в объем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углубленной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иных информационных систем, предусмотренных частью 5 статьи 91 Федерального закона.</w:t>
      </w:r>
    </w:p>
    <w:p>
      <w:pPr>
        <w:pStyle w:val="style4101"/>
        <w:ind w:firstLine="5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Органы исполнительной власти субъектов Российской Федерации в сфере</w:t>
      </w:r>
      <w:r>
        <w:rPr>
          <w:rFonts w:ascii="Times New Roman" w:cs="Times New Roman" w:hAnsi="Times New Roman"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охраны здоровья обеспечивают передачу сведений обо всех </w:t>
      </w:r>
      <w:r>
        <w:rPr>
          <w:rFonts w:ascii="Times New Roman" w:cs="Times New Roman" w:hAnsi="Times New Roman"/>
          <w:color w:val="000000"/>
          <w:sz w:val="28"/>
          <w:szCs w:val="28"/>
        </w:rPr>
        <w:t>случаях углубленной диспансеризации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диспансеризации в зависимости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 группы здоровья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граждане могут направляться на диспансерное наблюдение врачом-терапевтом, врачами-специалистами с проведением профилактических, лечебных и реабилитационных мероприятий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оказание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специализированной,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том числе высокотехнологичной, медицинской помощи.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медицинской организации ведется учет граждан, прошедших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углубленную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диспансеризацию, а также отказов граждан от прохождения отдельных исследований и мероприятий или в целом от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углубленной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диспансеризации.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sectPr>
          <w:pgSz w:w="11906" w:h="16838" w:orient="portrait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left="510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left="510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направления граждан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прохождение углубленной диспансеризации, включая категории граждан, проходящих углубленную диспансеризацию в первоочередном порядке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утвержденному приказом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left="510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Министерства здравоохранения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left="510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left="510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 «___» _____________ 2021 г. № ____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Категории граждан,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проходящих углубленную диспансеризацию в первоочередном порядке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Категории граждан, проходящих углубленную диспансеризацию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первоочередном порядке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учитываются медицинскими организациями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составлении </w:t>
      </w:r>
      <w:bookmarkStart w:id="9" w:name="_Hlk7476920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перечня граждан,</w:t>
      </w:r>
      <w: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подлежащих углубленной диспансеризации</w:t>
      </w:r>
      <w:bookmarkEnd w:id="9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 также при составлении дополнительных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указанных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перечней.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2. </w:t>
      </w:r>
      <w:bookmarkStart w:id="10" w:name="_Hlk7474898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bookmarkStart w:id="11" w:name="_Hlk7476863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приоритету 1-го уровня </w:t>
      </w:r>
      <w:bookmarkEnd w:id="11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относятся</w:t>
      </w:r>
      <w:bookmarkEnd w:id="1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bookmarkStart w:id="12" w:name="_Hlk7474935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перенесшие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COVID-19</w:t>
      </w:r>
      <w:bookmarkEnd w:id="1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наличи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двух и более хронических неинфекционных заболеваний.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</w:t>
      </w:r>
      <w:bookmarkStart w:id="13" w:name="_Hlk7476865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-го уровня </w:t>
      </w:r>
      <w:bookmarkEnd w:id="1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перенесшие</w:t>
      </w:r>
      <w: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новую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коронавирусную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COVID-19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аличии не более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одн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сопутствующ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хроническ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неинфекционн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заболевани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его отсутствие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 приоритету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-го уровня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граждане,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не обращавшиеся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медицинскую организацию более 2 лет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 приоритету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-го уровня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относятся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не относящиеся к 1-3 уровням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6. При наличии у гражданина 2-х и более приоритетов он подлежит учету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перечн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граждан, подлежащих 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 наиболее высокому приоритету.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7. 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ланируемые дат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углубленной диспансеризации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 составлении 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ереч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граждан, подлежащих углубленной диспансеризации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должны учитывать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ень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приоритетности граждан: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раждане, относящиеся к приоритету 1-го уровня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граждане, относящиеся к приоритету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-го уровня;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граждане, относящиеся к приоритету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-го уровня;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граждане, относящиеся к приоритету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-го уровня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8. Предварительным условием отнесения гражданина к приоритету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3-го или 4-ого уровня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инициатива гражданина, в отношении которого отсутствуют сведения о перенесенном заболевании новой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-19),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оформленная в письменной виде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форме заявления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руководителя медицинской организации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 прохождении углубленной диспансеризации.</w:t>
      </w:r>
    </w:p>
    <w:sectPr>
      <w:pgSz w:w="11906" w:h="16838" w:orient="portrait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footnote w:id="1">
    <w:p>
      <w:pPr>
        <w:pStyle w:val="style29"/>
        <w:jc w:val="both"/>
        <w:rPr/>
      </w:pPr>
      <w:r>
        <w:rPr>
          <w:rStyle w:val="style38"/>
        </w:rPr>
        <w:footnoteRef/>
      </w:r>
      <w:r>
        <w:t xml:space="preserve"> </w:t>
      </w:r>
      <w:r>
        <w:rPr>
          <w:sz w:val="18"/>
          <w:szCs w:val="18"/>
        </w:rPr>
        <w:t>Федеральн</w:t>
      </w:r>
      <w:r>
        <w:rPr>
          <w:sz w:val="18"/>
          <w:szCs w:val="18"/>
        </w:rPr>
        <w:t>ый</w:t>
      </w:r>
      <w:r>
        <w:rPr>
          <w:sz w:val="18"/>
          <w:szCs w:val="18"/>
        </w:rPr>
        <w:t xml:space="preserve"> закон от 21 ноября 2011 г. № 323-ФЗ «Об основах охраны здоровья граждан в Российской Федерации</w:t>
      </w:r>
      <w:r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(Собрание законодательства Российской Федерации, 2011,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48, ст. 6724; 2016,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27, ст. 42</w:t>
      </w:r>
      <w:r>
        <w:rPr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</w:t>
      </w:r>
      <w:r>
        <w:rPr>
          <w:sz w:val="18"/>
          <w:szCs w:val="18"/>
        </w:rPr>
        <w:t>–</w:t>
      </w:r>
      <w:r>
        <w:rPr>
          <w:sz w:val="18"/>
          <w:szCs w:val="18"/>
        </w:rPr>
        <w:t xml:space="preserve"> Федеральный закон</w:t>
      </w:r>
      <w:r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2">
    <w:p>
      <w:pPr>
        <w:pStyle w:val="style29"/>
        <w:jc w:val="both"/>
        <w:rPr/>
      </w:pPr>
      <w:r>
        <w:rPr>
          <w:rStyle w:val="style38"/>
        </w:rPr>
        <w:footnoteRef/>
      </w:r>
      <w:r>
        <w:t xml:space="preserve"> </w:t>
      </w:r>
      <w:r>
        <w:rPr>
          <w:sz w:val="18"/>
          <w:szCs w:val="18"/>
        </w:rPr>
        <w:t>Зарегистрирован Министерством юстиции Российской Федерации 28 апреля 2012 г., регистрационный № 23971, с изменениями, внесенными приказом Министерства здравоохранения Российск</w:t>
      </w:r>
      <w:r>
        <w:rPr>
          <w:sz w:val="18"/>
          <w:szCs w:val="18"/>
        </w:rPr>
        <w:t>ой Федерации от 31 октября 2017 </w:t>
      </w:r>
      <w:r>
        <w:rPr>
          <w:sz w:val="18"/>
          <w:szCs w:val="18"/>
        </w:rPr>
        <w:t>г. № 882н (зарегистрирован Министерством юстиции Российской Федерации 9 января 2018 г., регистрационный № 49561).</w:t>
      </w:r>
    </w:p>
  </w:footnote>
</w:footnote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Times New Roman" w:cs="Times New Roman" w:hAnsi="Times New Roman"/>
        <w:sz w:val="24"/>
        <w:szCs w:val="24"/>
      </w:rPr>
    </w:pPr>
    <w:r>
      <w:rPr>
        <w:rFonts w:ascii="Times New Roman" w:cs="Times New Roman" w:hAnsi="Times New Roman"/>
        <w:sz w:val="24"/>
        <w:szCs w:val="24"/>
      </w:rPr>
      <w:fldChar w:fldCharType="begin"/>
    </w:r>
    <w:r>
      <w:rPr>
        <w:rFonts w:ascii="Times New Roman" w:cs="Times New Roman" w:hAnsi="Times New Roman"/>
        <w:sz w:val="24"/>
        <w:szCs w:val="24"/>
      </w:rPr>
      <w:instrText>PAGE   \* MERGEFORMAT</w:instrText>
    </w:r>
    <w:r>
      <w:rPr>
        <w:rFonts w:ascii="Times New Roman" w:cs="Times New Roman" w:hAnsi="Times New Roman"/>
        <w:sz w:val="24"/>
        <w:szCs w:val="24"/>
      </w:rPr>
      <w:fldChar w:fldCharType="separate"/>
    </w:r>
    <w:r>
      <w:rPr>
        <w:rFonts w:ascii="Times New Roman" w:cs="Times New Roman" w:hAnsi="Times New Roman"/>
        <w:noProof/>
        <w:sz w:val="24"/>
        <w:szCs w:val="24"/>
      </w:rPr>
      <w:t>5</w:t>
    </w:r>
    <w:r>
      <w:rPr>
        <w:rFonts w:ascii="Times New Roman" w:cs="Times New Roman" w:hAnsi="Times New Roman"/>
        <w:sz w:val="24"/>
        <w:szCs w:val="24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Заголовок №2_"/>
    <w:basedOn w:val="style65"/>
    <w:next w:val="style4097"/>
    <w:link w:val="style4098"/>
    <w:rPr>
      <w:rFonts w:ascii="Times New Roman" w:cs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style4098">
    <w:name w:val="Заголовок №2"/>
    <w:basedOn w:val="style0"/>
    <w:next w:val="style4098"/>
    <w:link w:val="style4097"/>
    <w:pPr>
      <w:widowControl w:val="false"/>
      <w:shd w:val="clear" w:color="auto" w:fill="ffffff"/>
      <w:spacing w:before="5220" w:after="60" w:lineRule="atLeast" w:line="0"/>
      <w:jc w:val="center"/>
      <w:outlineLvl w:val="1"/>
    </w:pPr>
    <w:rPr>
      <w:rFonts w:ascii="Times New Roman" w:cs="Times New Roman" w:eastAsia="Times New Roman" w:hAnsi="Times New Roman"/>
      <w:b/>
      <w:bCs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29">
    <w:name w:val="footnote text"/>
    <w:basedOn w:val="style0"/>
    <w:next w:val="style29"/>
    <w:link w:val="style4100"/>
    <w:uiPriority w:val="99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customStyle="1" w:styleId="style4100">
    <w:name w:val="Текст сноски Знак"/>
    <w:basedOn w:val="style65"/>
    <w:next w:val="style4100"/>
    <w:link w:val="style29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style38">
    <w:name w:val="footnote reference"/>
    <w:next w:val="style38"/>
    <w:uiPriority w:val="99"/>
    <w:rPr>
      <w:rFonts w:cs="Times New Roman"/>
      <w:vertAlign w:val="superscript"/>
    </w:rPr>
  </w:style>
  <w:style w:type="paragraph" w:customStyle="1" w:styleId="style4101">
    <w:name w:val="ConsPlusNormal"/>
    <w:next w:val="style4101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sz w:val="20"/>
      <w:szCs w:val="20"/>
      <w:lang w:eastAsia="ru-RU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Верхний колонтитул Знак"/>
    <w:basedOn w:val="style65"/>
    <w:next w:val="style4102"/>
    <w:link w:val="style31"/>
    <w:uiPriority w:val="99"/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3">
    <w:name w:val="Нижний колонтитул Знак"/>
    <w:basedOn w:val="style65"/>
    <w:next w:val="style4103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1821</Words>
  <Pages>7</Pages>
  <Characters>14103</Characters>
  <Application>WPS Office</Application>
  <DocSecurity>0</DocSecurity>
  <Paragraphs>107</Paragraphs>
  <ScaleCrop>false</ScaleCrop>
  <LinksUpToDate>false</LinksUpToDate>
  <CharactersWithSpaces>16023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2021-06-18T08:37:00Z</dcterms:created>
  <dc:creator>Васильева Татьяна Владимировна</dc:creator>
  <lastModifiedBy>Redmi Note 8T</lastModifiedBy>
  <lastPrinted>2021-06-16T08:52:00Z</lastPrinted>
  <dcterms:modified xsi:type="dcterms:W3CDTF">2021-06-18T12:24:11Z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